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A" w:rsidRPr="005D2B7A" w:rsidRDefault="005D2B7A" w:rsidP="005D2B7A">
      <w:pPr>
        <w:tabs>
          <w:tab w:val="left" w:pos="1048"/>
          <w:tab w:val="center" w:pos="4677"/>
          <w:tab w:val="center" w:pos="4819"/>
          <w:tab w:val="center" w:pos="5032"/>
          <w:tab w:val="center" w:pos="5174"/>
          <w:tab w:val="left" w:pos="7680"/>
          <w:tab w:val="left" w:pos="7879"/>
          <w:tab w:val="left" w:pos="7995"/>
        </w:tabs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D2B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2B7A" w:rsidRPr="005D2B7A" w:rsidRDefault="005D2B7A" w:rsidP="005D2B7A">
      <w:pPr>
        <w:tabs>
          <w:tab w:val="left" w:pos="1048"/>
        </w:tabs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D2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2B7A" w:rsidRPr="005D2B7A" w:rsidRDefault="005D2B7A" w:rsidP="005D2B7A">
      <w:pPr>
        <w:tabs>
          <w:tab w:val="left" w:pos="1048"/>
        </w:tabs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D2B7A">
        <w:rPr>
          <w:rFonts w:ascii="Times New Roman" w:hAnsi="Times New Roman" w:cs="Times New Roman"/>
          <w:sz w:val="28"/>
          <w:szCs w:val="28"/>
        </w:rPr>
        <w:t>СТУДЕНОВСКИЙ СЕЛЬСОВЕТ</w:t>
      </w:r>
    </w:p>
    <w:p w:rsidR="005D2B7A" w:rsidRPr="005D2B7A" w:rsidRDefault="005D2B7A" w:rsidP="005D2B7A">
      <w:pPr>
        <w:tabs>
          <w:tab w:val="left" w:pos="1048"/>
        </w:tabs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D2B7A">
        <w:rPr>
          <w:rFonts w:ascii="Times New Roman" w:hAnsi="Times New Roman" w:cs="Times New Roman"/>
          <w:sz w:val="28"/>
          <w:szCs w:val="28"/>
        </w:rPr>
        <w:t>ИЛЕКСКОГО РАЙОНА</w:t>
      </w:r>
    </w:p>
    <w:p w:rsidR="005D2B7A" w:rsidRPr="005D2B7A" w:rsidRDefault="005D2B7A" w:rsidP="005D2B7A">
      <w:pPr>
        <w:tabs>
          <w:tab w:val="left" w:pos="1048"/>
        </w:tabs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D2B7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D2B7A" w:rsidRPr="005D2B7A" w:rsidRDefault="005D2B7A" w:rsidP="005D2B7A">
      <w:pPr>
        <w:spacing w:after="0"/>
        <w:ind w:hanging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B7A" w:rsidRPr="005D2B7A" w:rsidRDefault="005D2B7A" w:rsidP="005D2B7A">
      <w:pPr>
        <w:spacing w:after="0"/>
        <w:ind w:hanging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B7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D2B7A" w:rsidRPr="005D2B7A" w:rsidRDefault="005D2B7A" w:rsidP="005D2B7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B7A" w:rsidRPr="005D2B7A" w:rsidRDefault="005D2B7A" w:rsidP="005D2B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B7A" w:rsidRPr="005D2B7A" w:rsidRDefault="005D2B7A" w:rsidP="009120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B7A">
        <w:rPr>
          <w:rFonts w:ascii="Times New Roman" w:hAnsi="Times New Roman" w:cs="Times New Roman"/>
          <w:sz w:val="28"/>
          <w:szCs w:val="28"/>
        </w:rPr>
        <w:t xml:space="preserve">19.02.2019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2B7A">
        <w:rPr>
          <w:rFonts w:ascii="Times New Roman" w:hAnsi="Times New Roman" w:cs="Times New Roman"/>
          <w:sz w:val="28"/>
          <w:szCs w:val="28"/>
        </w:rPr>
        <w:t>-п</w:t>
      </w:r>
    </w:p>
    <w:p w:rsidR="005D2B7A" w:rsidRPr="005D2B7A" w:rsidRDefault="005D2B7A" w:rsidP="005D2B7A">
      <w:pPr>
        <w:autoSpaceDE w:val="0"/>
        <w:autoSpaceDN w:val="0"/>
        <w:adjustRightInd w:val="0"/>
        <w:ind w:left="72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9B4A3A" w:rsidRPr="005D2B7A" w:rsidRDefault="009B4A3A" w:rsidP="009B4A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утверждении муниципальной программы «Энергосбережение и повышение энергетической эффективности на 201</w:t>
      </w:r>
      <w:r w:rsidR="00726DD9"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726DD9"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B4A3A" w:rsidRPr="005D2B7A" w:rsidRDefault="009B4A3A" w:rsidP="00726DD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26DD9"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постановлением Правительства РФ от 31.12.2009г. №1225 «О требованиях к региональным и муниципальным программам в области энергосбережения и повышения энергетической эффективности», </w:t>
      </w:r>
      <w:r w:rsidR="00726DD9"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уководствуясь </w:t>
      </w:r>
      <w:hyperlink r:id="rId5" w:anchor="I0" w:tgtFrame="atop" w:history="1">
        <w:r w:rsidR="005D2B7A" w:rsidRPr="005D2B7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Студеновского </w:t>
        </w:r>
        <w:r w:rsidR="00726DD9" w:rsidRPr="005D2B7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сельсовет</w:t>
        </w:r>
      </w:hyperlink>
      <w:r w:rsidR="00726DD9"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1. Утвердить </w:t>
      </w:r>
      <w:r w:rsidR="00726DD9"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прилагаемую 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 программу «Энергосбережение и повышение энергетической эффективности на 201</w:t>
      </w:r>
      <w:r w:rsidR="00726DD9"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726DD9"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годы».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2. </w:t>
      </w:r>
      <w:proofErr w:type="gramStart"/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6DD9"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исполнением постановления оставляю за собой</w:t>
      </w: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26DD9" w:rsidRPr="005D2B7A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3. Постановление вступает в силу после его официального опубликования и подлежит размещению на сайте сельсовета в сети «Интернет».</w:t>
      </w:r>
    </w:p>
    <w:p w:rsidR="00726DD9" w:rsidRPr="005D2B7A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D2B7A" w:rsidRDefault="005D2B7A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6DD9" w:rsidRPr="005D2B7A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  <w:r w:rsidR="005D2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В. В. Мельников</w:t>
      </w:r>
    </w:p>
    <w:p w:rsidR="00726DD9" w:rsidRPr="005D2B7A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6DD9" w:rsidRPr="005D2B7A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6DD9" w:rsidRPr="005D2B7A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6DD9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26DD9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26DD9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D2B7A" w:rsidRDefault="005D2B7A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D2B7A" w:rsidRDefault="005D2B7A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D2B7A" w:rsidRDefault="005D2B7A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D2B7A" w:rsidRDefault="005D2B7A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D2B7A" w:rsidRDefault="005D2B7A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26DD9" w:rsidRPr="005D2B7A" w:rsidRDefault="00726DD9" w:rsidP="00726D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Разослано: прокурору района, в Вестник сельсовета, на сайт, в дело.</w:t>
      </w:r>
      <w:proofErr w:type="gramEnd"/>
    </w:p>
    <w:p w:rsidR="00D10848" w:rsidRDefault="00726DD9" w:rsidP="009B4A3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Приложение </w:t>
      </w:r>
    </w:p>
    <w:p w:rsidR="005D2B7A" w:rsidRDefault="00726DD9" w:rsidP="005D2B7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постановлению администрации </w:t>
      </w:r>
    </w:p>
    <w:p w:rsidR="00D10848" w:rsidRDefault="005D2B7A" w:rsidP="005D2B7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Студеновского </w:t>
      </w:r>
      <w:r w:rsidR="00726D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сельсовета </w:t>
      </w:r>
    </w:p>
    <w:p w:rsidR="00726DD9" w:rsidRDefault="00726DD9" w:rsidP="009B4A3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</w:t>
      </w:r>
      <w:r w:rsidR="005D2B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26.02.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2019г. №</w:t>
      </w:r>
      <w:r w:rsidR="005D2B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21-П</w:t>
      </w:r>
    </w:p>
    <w:p w:rsidR="00726DD9" w:rsidRDefault="00726DD9" w:rsidP="009B4A3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Муниципальная программа 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«Энергосбережение и повышение энергетической эффективности 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на 201</w:t>
      </w:r>
      <w:r w:rsidR="00D10848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-202</w:t>
      </w:r>
      <w:r w:rsidR="00D10848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годы»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Паспорт программы 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7"/>
        <w:gridCol w:w="7224"/>
      </w:tblGrid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муниципальной программы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 (далее - муниципальная программа)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Подпрограммы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социальной сфере;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Энергосбережение и повышение энергетической эффективности в жилищном фонде и в системах коммунальной инфраструктуры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в муниципальном образовании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Повышение энергетической эффективности на объектах социальной сферы;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Повышение энергетической эффективности в жилищном фонде и в системах коммунальной инфраструктуры;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Повышение энергетической эффективности в транспортном комплексе 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Целевые показатели (индикаторы)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Целевые показатели (индикаторы) определены постановлением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средств бюджета муниципального образования на реализацию муниципальной программы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F37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всех источников ориентировочно составит </w:t>
            </w:r>
            <w:r w:rsidR="005F37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6800,00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рублей.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     Объем бюджетных ассигнований на реализацию муниципальной программы утверждается решением 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Совета депутатов 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бюджете муниципального образования на очередной финансовый год и плановый период.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</w:tc>
      </w:tr>
      <w:tr w:rsidR="00726DD9" w:rsidRPr="005D2B7A" w:rsidTr="00D10848">
        <w:trPr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программы, оценка планируемой эффективности ее реализации </w:t>
            </w:r>
          </w:p>
        </w:tc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Сокращение потребления топливно-энергетических ресурсов;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Повышение надежности и качества энергосбережения объектов, улучшение санитарно-гигиенических, а также социальных условий в муниципальных учреждениях города;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Достижение 100-процентного уч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ета потребляемых энергоресурсов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Для количественной оценки результатов предусмотрена система целевых показателей (индикаторов) и их значений по годам реализации подпрограммы </w:t>
            </w:r>
          </w:p>
        </w:tc>
      </w:tr>
    </w:tbl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 Подпрограмма «Энергосбережение и повышение энергетической эффективности в социальной сфере»</w:t>
      </w:r>
    </w:p>
    <w:p w:rsidR="00D10848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Паспорт подпрограммы 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 xml:space="preserve">«Энергосбережение и повышение энергетической эффективности 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 социальной сфере»</w:t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1"/>
        <w:gridCol w:w="7170"/>
      </w:tblGrid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подпрограммы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в социальной сфере» (далее - подпрограмма)</w:t>
            </w:r>
          </w:p>
        </w:tc>
      </w:tr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исполнитель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сельсовета</w:t>
            </w:r>
          </w:p>
        </w:tc>
      </w:tr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Повышение энергетической эффективности на объектах социальной сферы </w:t>
            </w:r>
          </w:p>
        </w:tc>
      </w:tr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 снижения в сопоставимых условиях объема потребления ТЭР в течение 5 лет не менее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чем на 15% от фактически потребленного объема ТЭР в 20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году по каждому из ресурсов;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Повышение уровня оснащенности приборами учета используемых энергетических ресурсов;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Внедрение энергосберегающего оборудования и технологий;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Системность и комплексность проведения мероприятий по энергосбережению и повышению энергетической эффективности.</w:t>
            </w:r>
          </w:p>
        </w:tc>
      </w:tr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Целевые показатели (индикаторы)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Целевые показатели (индикаторы) определены постановлением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средств бюджета муниципального образования на реализацию подпрограммы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848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Общий объем финансирования подпрограммы за счет всех источников ориентировочно составит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6800,00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тыс. рублей, в том числе за счет средств бюджета 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сельсовета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6800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 тыс. рублей: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201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1360,00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рублей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20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1360,00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рублей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2021 год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1360,00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рублей</w:t>
            </w:r>
          </w:p>
          <w:p w:rsidR="00D10848" w:rsidRPr="005D2B7A" w:rsidRDefault="00D10848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2022 год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1360,00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рублей</w:t>
            </w:r>
          </w:p>
          <w:p w:rsidR="009B4A3A" w:rsidRPr="005D2B7A" w:rsidRDefault="00D10848" w:rsidP="007B73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2023 год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1360,00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рублей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 xml:space="preserve">Объем бюджетных ассигнований на реализацию подпрограммы утверждается решением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Совета депутатов 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бюджете муниципального образования на очередной финансовый год и плановый период. Параметры финансового обеспечения реализации подпрограммы ежегодно будут уточняться в рамках процедур формирования и утверждения бюджета.</w:t>
            </w:r>
          </w:p>
        </w:tc>
      </w:tr>
      <w:tr w:rsidR="00726DD9" w:rsidRPr="005D2B7A" w:rsidTr="00D10848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подпрограммы, оценка планируемой эффективности ее реализации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Сокращение бюджетных расходов на приобретение топливно-энергетических ресурсов муниципальными учреждениями, финансируемыми за счет средств бюджета </w:t>
            </w:r>
            <w:r w:rsidR="00D10848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сельсовета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Сокращение бюджетных расходов на подготовку систем теплоснабжения муниципальных учреждений к отопительному периоду;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Повышение надежности и качества энергосбережения объектов, улучшение санитарно-гигиенических, а также социальных условий в муниципальных учреждениях </w:t>
            </w:r>
            <w:r w:rsidR="00727439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сельсовета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1.1. Характеристика состояния сферы деятельности, в рамках которой реализуется подпрограмма, в том числе основные проблемы в этой сфере и прогноз ее развития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01.01.201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на территории муниципального образования </w:t>
      </w:r>
      <w:r w:rsid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Студеновский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функционирует 1 административное учреждение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администрация </w:t>
      </w:r>
      <w:r w:rsid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Студеновского 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 Илекского района Оренбургской области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27439" w:rsidRPr="005D2B7A" w:rsidRDefault="00727439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7439" w:rsidRPr="005D2B7A" w:rsidRDefault="00727439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Объемы потребления топливно-энергетических ресурсов муниципальными учреждениями социальной сферы в натуральном выражении в 201</w:t>
      </w:r>
      <w:r w:rsidR="00727439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8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году</w:t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  <w:gridCol w:w="1324"/>
        <w:gridCol w:w="1352"/>
        <w:gridCol w:w="977"/>
        <w:gridCol w:w="1242"/>
        <w:gridCol w:w="994"/>
        <w:gridCol w:w="1422"/>
      </w:tblGrid>
      <w:tr w:rsidR="00727439" w:rsidRPr="005D2B7A" w:rsidTr="00727439">
        <w:trPr>
          <w:jc w:val="center"/>
        </w:trPr>
        <w:tc>
          <w:tcPr>
            <w:tcW w:w="10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Наименование учреждения</w:t>
            </w:r>
          </w:p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2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Объемы потребления энергоресурсов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7439" w:rsidRPr="005D2B7A" w:rsidTr="00727439">
        <w:trPr>
          <w:jc w:val="center"/>
        </w:trPr>
        <w:tc>
          <w:tcPr>
            <w:tcW w:w="10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Электр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ческая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энергия, тыс.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кВт.ч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Тепловая энергия, Гкал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Вода холо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д-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ная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, м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(3)Вода горячая, 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(3)Газ, 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(3)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т.у.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.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7439" w:rsidRPr="005D2B7A" w:rsidTr="00727439">
        <w:trPr>
          <w:jc w:val="center"/>
        </w:trPr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727439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0E282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0E282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5F378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F904F7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F904F7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B4A3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По данным на 01.01.201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B7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 оснащенность приборами учета ТЭР учреждений социальной сферы составила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(здание администрации сельсовета)</w:t>
      </w:r>
      <w:r w:rsidR="007B7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100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</w:t>
      </w:r>
    </w:p>
    <w:p w:rsidR="00267451" w:rsidRDefault="00267451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7451" w:rsidRDefault="00267451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7451" w:rsidRDefault="00267451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7451" w:rsidRDefault="00267451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7451" w:rsidRDefault="00267451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7451" w:rsidRDefault="00267451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2826" w:rsidRDefault="000E2826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7451" w:rsidRDefault="00267451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2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Сведения об оснащенности приборами учета ТЭР на 01.01.201</w:t>
      </w:r>
      <w:r w:rsidR="00727439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г.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учреждений социальной сферы</w:t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2"/>
        <w:gridCol w:w="1421"/>
        <w:gridCol w:w="908"/>
        <w:gridCol w:w="1273"/>
        <w:gridCol w:w="1657"/>
      </w:tblGrid>
      <w:tr w:rsidR="00727439" w:rsidRPr="005D2B7A" w:rsidTr="00727439">
        <w:trPr>
          <w:jc w:val="center"/>
        </w:trPr>
        <w:tc>
          <w:tcPr>
            <w:tcW w:w="21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Общее потребное кол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чество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приборов учета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Установлено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Необходимо установить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7439" w:rsidRPr="005D2B7A" w:rsidTr="00727439">
        <w:trPr>
          <w:jc w:val="center"/>
        </w:trPr>
        <w:tc>
          <w:tcPr>
            <w:tcW w:w="21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всего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в т.ч. требуют замены или не введены в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эксплу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тацию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727439">
        <w:trPr>
          <w:jc w:val="center"/>
        </w:trPr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727439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7B7364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7B7364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7B7364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7B7364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726DD9" w:rsidRPr="005D2B7A" w:rsidTr="000E2826">
        <w:trPr>
          <w:trHeight w:val="337"/>
          <w:jc w:val="center"/>
        </w:trPr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 оснащенности 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7B7364" w:rsidP="000E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7B7364" w:rsidP="000E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7B7364" w:rsidP="000E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7B7364" w:rsidP="000E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</w:tbl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В соответствии с требованиями Федерального закона от 23.11.2009г. №261-ФЗ муниципальные учреждения до 31 декабря 2012 года должны были провести первое энергетическое обследование, последующие энергетические обследования - не реже чем один раз каждые п</w:t>
      </w:r>
      <w:r w:rsid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ять лет.</w:t>
      </w:r>
    </w:p>
    <w:p w:rsidR="005D2B7A" w:rsidRDefault="009B4A3A" w:rsidP="005D2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Доля муниципальных учреждений, финансируемых за счет бюджета муниципального образования </w:t>
      </w:r>
      <w:r w:rsid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Студеновский 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общем объеме муниципальных учреждений, в отношении которых проведено обязательное энергетическое обследование, составляет на 01.01.201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г.:</w:t>
      </w:r>
      <w:r w:rsidR="00727439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2B7A" w:rsidRDefault="00727439" w:rsidP="005D2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сельсовета - 100%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2B7A" w:rsidRDefault="009B4A3A" w:rsidP="005D2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Начиная с 1 января 2010 года муниципальные учреждения обязаны</w:t>
      </w:r>
      <w:proofErr w:type="gram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обеспечить ежегодное снижение объема потребленных энергетических ресурсов не менее чем на три процента или на пятнадцать процентов в течение пяти лет.</w:t>
      </w:r>
    </w:p>
    <w:p w:rsidR="009B4A3A" w:rsidRPr="005D2B7A" w:rsidRDefault="009B4A3A" w:rsidP="005D2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3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Удельные расходы энергоресурсов объектов социальной сферы</w:t>
      </w:r>
    </w:p>
    <w:tbl>
      <w:tblPr>
        <w:tblW w:w="46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1"/>
        <w:gridCol w:w="2752"/>
        <w:gridCol w:w="1325"/>
        <w:gridCol w:w="1017"/>
        <w:gridCol w:w="1197"/>
        <w:gridCol w:w="1134"/>
        <w:gridCol w:w="1229"/>
      </w:tblGrid>
      <w:tr w:rsidR="00727439" w:rsidRPr="005D2B7A" w:rsidTr="00AF1433">
        <w:trPr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/п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Вид энергоресурса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Удельный расход энергоресурсов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7439" w:rsidRPr="005D2B7A" w:rsidTr="00727439">
        <w:trPr>
          <w:jc w:val="center"/>
        </w:trPr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2014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2015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2016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2017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439" w:rsidRPr="005D2B7A" w:rsidRDefault="00727439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2018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6DD9" w:rsidRPr="005D2B7A" w:rsidTr="00B64EA5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Электроэнергия,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кВт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/м(2)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1C28D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18125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1C28D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15717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1C28D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21663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D5ADB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16354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D5ADB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18680</w:t>
            </w:r>
          </w:p>
        </w:tc>
      </w:tr>
      <w:tr w:rsidR="00726DD9" w:rsidRPr="005D2B7A" w:rsidTr="00B64EA5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Тепловая энергия, Гкал/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1C28D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196,458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1C28D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267,219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1C28D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177,77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1C28DF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177,61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D5ADB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145,23</w:t>
            </w:r>
          </w:p>
        </w:tc>
      </w:tr>
      <w:tr w:rsidR="00726DD9" w:rsidRPr="005D2B7A" w:rsidTr="00B64EA5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Вода, 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(3)/чел.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67451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67451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67451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67451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3A" w:rsidRPr="005D2B7A" w:rsidRDefault="00267451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настоящее время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потенциал сбережения энергоресурсов в социальной сфере все еще остается на</w:t>
      </w:r>
      <w:r w:rsid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достаточно высоком уровне.</w:t>
      </w:r>
    </w:p>
    <w:p w:rsidR="00B64EA5" w:rsidRPr="005D2B7A" w:rsidRDefault="009B4A3A" w:rsidP="005D2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Вместе с тем, основной проблемой в сфере повышения энергетической эффективности остается недостаточность финансовых ресурсов на реализацию запланированных мероприятий.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p w:rsidR="009B4A3A" w:rsidRPr="005D2B7A" w:rsidRDefault="00B64EA5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1.2</w:t>
      </w:r>
      <w:r w:rsidR="009B4A3A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Целевые показатели (индикаторы), характеризующие достижение поставленных целей и задач, обоснование их состава и значений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Состав целевых показателей (индикаторов) сформирован с учетом постановления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Сведения о составе и значениях целевых показателей (индикаторов) настоящей подпрограммы, характеризующих достижение поставленных целей и задач, приведены в </w:t>
      </w:r>
      <w:hyperlink r:id="rId6" w:anchor="I0" w:tgtFrame="atop" w:history="1">
        <w:r w:rsidRPr="005D2B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приложении 1 к</w:t>
        </w:r>
      </w:hyperlink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программе.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</w:t>
      </w:r>
      <w:r w:rsidR="00B64EA5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Сроки реализации подпрограммы</w:t>
      </w:r>
    </w:p>
    <w:p w:rsidR="009B4A3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Реализация настоящей подпрограммы осуществляется с 201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202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</w:t>
      </w:r>
      <w:r w:rsidR="00B64EA5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Основные мероприятия, направленные на достижение целей и задач в сфере реализации подпрограммы</w:t>
      </w:r>
    </w:p>
    <w:p w:rsidR="00267451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Приоритетными мероприятиями настоящей подпрограммы определены: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- проведение энергетических обследований муниципальных учреждений;</w:t>
      </w:r>
      <w:proofErr w:type="gramEnd"/>
    </w:p>
    <w:p w:rsidR="00267451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установка (замена) приборов учета в учреждениях;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реализация мероприятий энергетических паспортов учреждений по результатам проведенных энергетических обследований (модернизация системы освещения, реконструкция и замена оконных и дверных блоков, утепление и ремонт ограждающих конструкций зданий, тепловая изоляция трубопроводов и разводящих трубопроводов системы отопления, автоматизация потребления тепловой энергии, реализация дополнительных организационных, технических и технологических мероприятий по энергосбережению и повышению энергетической эффективности и др.).</w:t>
      </w:r>
      <w:proofErr w:type="gramEnd"/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Кроме того, планируется продолжить работу по заключению </w:t>
      </w:r>
      <w:proofErr w:type="spell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энергосервисных</w:t>
      </w:r>
      <w:proofErr w:type="spell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договоров (контрактов), направленных на снижение потребления энергетических ресурсов муниципальными учреждениями.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Перечень основных мероприятий настоящей подпрограммы с указанием ответственного исполнителя, срока выполнения и ожидаемого непосредственного результата представлен в </w:t>
      </w:r>
      <w:hyperlink r:id="rId7" w:anchor="I0" w:tgtFrame="atop" w:history="1">
        <w:r w:rsidRPr="005D2B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приложении 2</w:t>
        </w:r>
      </w:hyperlink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муниципальной программе.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</w:t>
      </w:r>
      <w:r w:rsidR="00B64EA5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5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Ресурсное обеспечение подпрограммы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Финансовое обеспечение настоящей подпрограммы предусматривает привлечение  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средств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бюджета 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других уровней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средств из иных источников в соответствии с действующим законодательством.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Общий объем финансирования подпрограммы за счет всех источников оценивается в размере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6800,00 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ыс. рублей</w:t>
      </w:r>
      <w:r w:rsid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Объем бюджетных ассигнований на реализацию подпрограммы утверждается решением 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бюджете муниципального образования на очередной финансовый год и плановый период. Параметры финансового обеспечения реализации подпрограммы ежегодно будут уточняться в рамках процедур формирования и утверждения бюджета.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Ресурсное обеспечение реализации настоящей подпрограммы за счет средств бюджета муниципального образования представлено в </w:t>
      </w:r>
      <w:hyperlink r:id="rId8" w:anchor="I0" w:tgtFrame="atop" w:history="1">
        <w:r w:rsidRPr="005D2B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приложении 3</w:t>
        </w:r>
      </w:hyperlink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муниципальной программе.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Прогнозная (справочная) оценка ресурсного обеспечения реализации настоящей подпрограммы за счет всех источников финансирования представлена в </w:t>
      </w:r>
      <w:hyperlink r:id="rId9" w:anchor="I0" w:tgtFrame="atop" w:history="1">
        <w:r w:rsidRPr="005D2B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приложении 4</w:t>
        </w:r>
      </w:hyperlink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муниципальной программе.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1.</w:t>
      </w:r>
      <w:r w:rsidR="00B64EA5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6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Конечные результаты реализации подпрограммы, оценка планируемой эффективности ее реализации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Выполнение мероприятий настоящей подпрограммы позволит получить результаты в социальной сфере: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сокращение бюджетных расходов на приобретение топливно-энергетических ресурсов муниципальными учреждениями, финансируемыми за счет средств бюджета муниципального образования;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сокращение бюджетных расходов на подготовку систем теплоснабжения муниципальных учреждений к отопительному периоду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повышение надежности и качества энергосбережения объектов, улучшение санитарно-гигиенических, а также социальных условий в муниципальных учреждениях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Эффективность реализации настоящей подпрограммы будет ежегодно оцениваться в соответствии с порядком, установленным Администрацией 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 Подпрограмма «Энергосбережение и повышение энергетической эффективности в жилищном фонде и в системах коммунальной инфраструктуры»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Паспорт подпрограммы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«Энергосбережение и повышение энергетической эффективности в жилищном фонде и в системах коммунальной инфраструктуры»</w:t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1"/>
        <w:gridCol w:w="7170"/>
      </w:tblGrid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подпрограммы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в жилищном фонде и в системах коммунальной инфраструктуры (далее - подпрограмма)</w:t>
            </w:r>
          </w:p>
        </w:tc>
      </w:tr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исполнитель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B64EA5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Повышение энергетической эффективности в жилищном фонде и в системах коммунальной инфраструктуры </w:t>
            </w:r>
            <w:r w:rsidR="00B64EA5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поселения</w:t>
            </w:r>
          </w:p>
        </w:tc>
      </w:tr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 перехода жилищно-коммунального хозяйства на энергосберегающий путь развития;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Повышение за счет роста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надежности энергообеспечения жилищно-коммунального комплекса и улучшение на этой основе социально-бытовых условий населения;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Улучшение экологической ситуации;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Привлечение частных инвестиций для внедрения энергосберегающих технологий и оборудования;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Снижение сверхнормативных и непроизводственных затрат при производстве и потреблении коммунальных услуг </w:t>
            </w:r>
          </w:p>
        </w:tc>
      </w:tr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Целевые показатели (индикаторы)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Целевые показатели (индикаторы) определены постановлением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B64EA5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B64EA5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Объем средств бюджета муниципального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образования «Город Ижевск» на реализацию подпрограммы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1C28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Общий объем средств, предусмотренный на реализацию мероприятий подпрограммы ориентировочно составит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1C28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6800,00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рублей (в ценах 201</w:t>
            </w:r>
            <w:r w:rsidR="00B64EA5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года).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Параметры финансового обеспечения реализации подпрограммы ежегодно будут уточняться в рамках бюджетного цикла </w:t>
            </w:r>
          </w:p>
        </w:tc>
      </w:tr>
      <w:tr w:rsidR="00726DD9" w:rsidRPr="005D2B7A" w:rsidTr="00B64EA5">
        <w:trPr>
          <w:jc w:val="center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подпрограммы, оценка планируемой эффективности ее реализации 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Конечным результатом реализации подпрограммы является:</w:t>
            </w:r>
          </w:p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· сокращение потребления и экономия энергоресурсов;</w:t>
            </w:r>
          </w:p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· снижение непроизводительных потерь энергоресурсов;</w:t>
            </w:r>
          </w:p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· улучшение качества питьевой воды;</w:t>
            </w:r>
          </w:p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· 100-процентный учет потребляемых энергоресурсов.</w:t>
            </w:r>
          </w:p>
        </w:tc>
      </w:tr>
    </w:tbl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2.1. Характеристика состояния сферы деятельности, в рамках которой реализуется подпрограмма, в том числе основные проблемы в этой сфере и прогноз ее развития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Проблема качественного обеспечения граждан </w:t>
      </w:r>
      <w:r w:rsid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Студеновского </w:t>
      </w:r>
      <w:r w:rsidR="00B64EA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теплом, холодной водой стала одной из главных и определяющих, без решения которой невозможно сохранить здоровье населения, улучшить условия деятельности и решить многие социальные проблемы, связанные с повышением уровня жизни людей.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введением в действие с 1 января 2005 года Жилищного Кодекса Российской Федерации и переходом жилого фонда и объектов инженерной инфраструктуры в управление частными компаниями возросла заинтересованность в коммерческих взаиморасчетах за потребленные энергоресурсы на основании показаний приборов учета, экономии энергоресурсов, проведении мероприятий по снижению потерь энергоресурсов через ограждающие конструкции зданий.</w:t>
      </w:r>
      <w:proofErr w:type="gramEnd"/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Теплоснабжение 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Для сокращения тепловых и электрических потерь необходимо выполнить модернизацию внутриквартальных сетей с применением </w:t>
      </w:r>
      <w:proofErr w:type="spell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предизолированных</w:t>
      </w:r>
      <w:proofErr w:type="spell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труб на сетях отопления; модернизировать существующее устаревшее оборудование и установкой частотных преобразователей для уменьшения потребления электроэнергии; оснащение телемеханикой и охранной сигнализацией в целях обеспечения контроля, управления и автоматизации процессами.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Водоснабжение, водоотведение </w:t>
      </w:r>
    </w:p>
    <w:p w:rsidR="007024D8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По состоянию на 01.01.201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протяженность водопроводной сети составляет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2279</w:t>
      </w:r>
      <w:r w:rsidR="00267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км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    Большинство трубопроводов находится в эксплуатации с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1985 по настоящее время.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Кроме того, недостаточное техническое обслуживание и низкий объем выполняемых ремонтных работ балансодержателями сетей и сооружений других ведомств, незащищенность металлических трубопроводов от блуждающих токов, низкая оснащенность оборудования насосных станций частотными регуляторами и т.д. привели к большому физическому износу сетей и к высокой аварийности, и, в результате, к вторичному загрязнению подаваемой 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питьевой воды и увеличению ее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непроизводственных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потерь. </w:t>
      </w:r>
      <w:proofErr w:type="gramEnd"/>
    </w:p>
    <w:p w:rsidR="007024D8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Проблемы обеспечения населения питьевой водой нормативного качества и в достаточном количестве стали в настоящее время определяющими, без решения которых невозможно сохранение здоровья населения, улучшение условий деятельности, решение многих социальных проблем, связанных с повышением уровня жизни людей, в т.ч. развитие жилищного строительства. Новые мощности очистных сооружений водопровода не вводились более трех десятков лет; не проводилась и их комплексная реконструкция. До настоящего времени эксплуатируются 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устаревшие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очистные сооружения. Кроме того, за последние годы заметно ухудшилось качество воды поверхностных источников питьевого водоснабжения. Барьерные функции очистных сооружений исчерпаны, т.к. при проектировании они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конструктивно не были рассчитаны на очистку исходной воды такого качества. На действующих сооружениях необходимо </w:t>
      </w: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</w:t>
      </w:r>
      <w:proofErr w:type="gram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новых дополнительных  технологических сооружений, так и модернизация существующих для обеспечения подготовки питьевой воды при отрицательной динамике ухудшения качества исходной.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С целью повышения качества предоставления услуг по водоснабжению и водоотведению, оперативности решения организационно-технических задач, повышения технической оснащенности принимаются текущие и перспективные планы технического перевооружения.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Энергосбережение в жилом фонде</w:t>
      </w:r>
    </w:p>
    <w:p w:rsidR="001C28DF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Общая площадь многоквартирных домов на 01.01.201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составляет </w:t>
      </w:r>
      <w:r w:rsidR="002D5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D5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6,1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кв. м. Количество многоквартирных домов на территории 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34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ед.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Значительная часть населения 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настоящее время проживает в многоквартирных домах, построенных до 1990 года и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частично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оборудованных прибо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рами учета энергоресурсов.</w:t>
      </w:r>
    </w:p>
    <w:p w:rsidR="005D2B7A" w:rsidRDefault="009B4A3A" w:rsidP="001C28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в жилищном фонде на территории муниципального образования: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электрическая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энергия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100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%;</w:t>
      </w:r>
    </w:p>
    <w:p w:rsidR="005D2B7A" w:rsidRDefault="005D2B7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тепловая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энергия</w:t>
      </w:r>
      <w:r w:rsidR="007024D8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%;</w:t>
      </w:r>
    </w:p>
    <w:p w:rsidR="005D2B7A" w:rsidRDefault="007024D8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холодная вода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67 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%;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газ -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100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% 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В целях реализации требований Федерального закона от 23 ноября 2009 г. № 261-ФЗ «Об энергосбережении» необходимо оснастить многоквартирные дома</w:t>
      </w:r>
      <w:r w:rsidR="007173E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коллективными (общедомовыми) приборами учета энергоресурсов и индивидуальными (квартирными) приборами учета (счетчиками) воды, газа, электроэнергии, произвести замену светильников на </w:t>
      </w:r>
      <w:proofErr w:type="spell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энергоэкономичные</w:t>
      </w:r>
      <w:proofErr w:type="spell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выполнить мероприятия по снижению потерь тепловой энергии через ограждающие конструкции зданий.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2.2. Приоритеты, цели и задачи социально-экономического развития муниципального образования </w:t>
      </w:r>
      <w:r w:rsid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Студеновский </w:t>
      </w:r>
      <w:r w:rsidR="007173E5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сельсовет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в сфере реализации подпрограммы</w:t>
      </w:r>
    </w:p>
    <w:p w:rsid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Цель настоящей подпрограммы - повышение энергетической эффективности в жилищном фонде и в системах коммунальной инфраструктуры</w:t>
      </w:r>
      <w:r w:rsidR="007173E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Основными задачами настоящей подпрограммы являются: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Обеспечение перехода жилищно-коммунального хозяйства на энергос</w:t>
      </w:r>
      <w:r w:rsidR="00932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берегающий путь развития; </w:t>
      </w:r>
    </w:p>
    <w:p w:rsidR="00932A6C" w:rsidRDefault="009B4A3A" w:rsidP="00932A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за счет роста </w:t>
      </w:r>
      <w:proofErr w:type="spell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энергоэффективности</w:t>
      </w:r>
      <w:proofErr w:type="spell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надежности энергообеспечения жилищно-коммунального комплекса и улучшения на этой основе социально-бытовых условий населения; 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Улучшени</w:t>
      </w:r>
      <w:r w:rsidR="00932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экологической ситуации; </w:t>
      </w:r>
    </w:p>
    <w:p w:rsidR="009B4A3A" w:rsidRPr="005D2B7A" w:rsidRDefault="009B4A3A" w:rsidP="00932A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Привлечение частных инвестиций для внедрения энергосберегающих технологий и оборудования; 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Снижение сверхнормативных и непроизводственных затрат при производстве и потре</w:t>
      </w:r>
      <w:r w:rsidR="00932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блении коммунальных услуг.</w:t>
      </w:r>
    </w:p>
    <w:p w:rsidR="009B4A3A" w:rsidRPr="005D2B7A" w:rsidRDefault="009B4A3A" w:rsidP="00932A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каждой сфере определены конкретные задачи, на реализацию которых направлена настоящая подпрограмма: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Теплоснабжение: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- обеспечение надёжности системы теплоснабжения </w:t>
      </w:r>
      <w:r w:rsidR="007173E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повышение эк</w:t>
      </w:r>
      <w:r w:rsidR="00932A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ономической эффективности.</w:t>
      </w:r>
    </w:p>
    <w:p w:rsidR="007173E5" w:rsidRPr="005D2B7A" w:rsidRDefault="009B4A3A" w:rsidP="00932A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внедрение новых технологий, обеспечивающих максимальный эффект энергосбережения и снижения экологической нагрузки на окружающую среду.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модернизация существующих систем теплоснабжения;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- минимизация тарифов за счет применения </w:t>
      </w:r>
      <w:proofErr w:type="spell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энергоэффективных</w:t>
      </w:r>
      <w:proofErr w:type="spell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решений.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</w:t>
      </w:r>
      <w:r w:rsidRPr="005D2B7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Водоснабжение и водоотведение: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обеспечение качества питьевой воды в соответствии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обеспечение качества очищенных сточных вод в соответствии с требованиями Федерального закона от 10.01.2002 г. №7-ФЗ «Об охране окружающей среды»;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улучшение качества питьевой воды за счет внедрения новых технологий на действующих сооружениях;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- улучшение качества очистки стоков на действующих городских очистных сооружениях канализации;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- снижение непроизводительных потерь воды;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Жилищный фонд: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регулирование теплопотребления в жилом фонде;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установка приборов учета энергоресурсов;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снижение потерь тепловой энергии через ограждающие конструкции жилых домов.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2.3. Целевые показатели (индикаторы), характеризующие достижение поставленных целей и задач, обоснование их состава и значений</w:t>
      </w:r>
    </w:p>
    <w:p w:rsidR="00932A6C" w:rsidRDefault="009B4A3A" w:rsidP="00932A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Состав целевых показателей (индикаторов) сформирован с учетом постановления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932A6C" w:rsidRDefault="009B4A3A" w:rsidP="00932A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Сведения о составе и значениях целевых показателей (индикаторов) настоящей подпрограммы, характеризующих достижение поставленных целей и задач, приведены в </w:t>
      </w:r>
      <w:hyperlink r:id="rId10" w:anchor="I0" w:tgtFrame="atop" w:history="1">
        <w:r w:rsidRPr="005D2B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приложении 1</w:t>
        </w:r>
      </w:hyperlink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муниципальной программе.</w:t>
      </w:r>
    </w:p>
    <w:p w:rsidR="009B4A3A" w:rsidRPr="005D2B7A" w:rsidRDefault="009B4A3A" w:rsidP="00932A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2.4. Сроки реализации подпрограммы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9B4A3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Реализация настоящей подпрограммы осуществляется с 201</w:t>
      </w:r>
      <w:r w:rsidR="007173E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202</w:t>
      </w:r>
      <w:r w:rsidR="007173E5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</w:p>
    <w:p w:rsidR="009B4A3A" w:rsidRPr="005D2B7A" w:rsidRDefault="0038511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2.5</w:t>
      </w:r>
      <w:r w:rsidR="009B4A3A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Ресурсное обеспечение подпрограммы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38511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Общая стоимость мероприятий настоящей подпрограммы ориентировочно составляет </w:t>
      </w:r>
      <w:r w:rsidR="001C28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6800,00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тыс. рублей (в ценах 201</w:t>
      </w:r>
      <w:r w:rsidR="0038511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года). 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Источники финансирования: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мероприятия по теплоснабжению - прибыль в тарифе на тепловую энергию и плата за подключение;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- мероприятия по водоснабжению, водоотведению - прибыль в тарифе на холодную воду и плата за подключение;</w:t>
      </w:r>
    </w:p>
    <w:p w:rsidR="00932A6C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- мероприятия по жилому фонду - средства собственников МКД.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Финансовые потребности на реализацию мероприятий подлежат корректировке с учетом: сре</w:t>
      </w:r>
      <w:proofErr w:type="gramStart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пр</w:t>
      </w:r>
      <w:proofErr w:type="gramEnd"/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едприятий, выделяемых на реализацию мероприятий по тепло-, водоснабжению и водоотведению; решений собственников МКД о проведении мероприятий по жилому фонду.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Ресурсное обеспечение реализации настоящей подпрограммы за счет средств бюджета муниципального образования</w:t>
      </w:r>
      <w:r w:rsidR="0038511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представлено в </w:t>
      </w:r>
      <w:hyperlink r:id="rId11" w:anchor="I0" w:tgtFrame="atop" w:history="1">
        <w:r w:rsidRPr="005D2B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приложении 3</w:t>
        </w:r>
      </w:hyperlink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муниципальной программе.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Прогнозная (справочная) оценка ресурсного обеспечения реализации настоящей подпрограммы за счет всех источников финансирования представлена в </w:t>
      </w:r>
      <w:hyperlink r:id="rId12" w:anchor="I0" w:tgtFrame="atop" w:history="1">
        <w:r w:rsidRPr="005D2B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приложении 4</w:t>
        </w:r>
      </w:hyperlink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муниципальной программе.</w:t>
      </w:r>
    </w:p>
    <w:p w:rsidR="009B4A3A" w:rsidRPr="005D2B7A" w:rsidRDefault="009B4A3A" w:rsidP="005D2B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</w:t>
      </w:r>
      <w:r w:rsidR="0038511A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6</w:t>
      </w: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Конечные результаты реализации подпрограммы, оценка планируемой эффективности ее реализации</w:t>
      </w:r>
    </w:p>
    <w:p w:rsidR="009B4A3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Конечными результатами реализации настоящей подпрограммы являются: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·      сокращение потребления и экономия энергоресурсов;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·      снижение непроизводительных потерь энергоресурсов;</w:t>
      </w:r>
    </w:p>
    <w:p w:rsidR="009B4A3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· </w:t>
      </w:r>
      <w:r w:rsidR="0038511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улучшение качества питьевой воды;</w:t>
      </w:r>
    </w:p>
    <w:p w:rsidR="009B4A3A" w:rsidRPr="005D2B7A" w:rsidRDefault="0038511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·     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100-процентный учет потребляемых энергоресурсов.</w:t>
      </w:r>
      <w:r w:rsidR="009B4A3A"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</w:p>
    <w:p w:rsidR="0038511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 1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 муниципальной программе 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jc w:val="righ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539"/>
        <w:gridCol w:w="602"/>
        <w:gridCol w:w="2171"/>
        <w:gridCol w:w="1301"/>
        <w:gridCol w:w="788"/>
        <w:gridCol w:w="927"/>
        <w:gridCol w:w="967"/>
        <w:gridCol w:w="967"/>
        <w:gridCol w:w="1241"/>
      </w:tblGrid>
      <w:tr w:rsidR="001F68F6" w:rsidRPr="005D2B7A" w:rsidTr="001F68F6">
        <w:trPr>
          <w:jc w:val="right"/>
        </w:trPr>
        <w:tc>
          <w:tcPr>
            <w:tcW w:w="5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ан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лити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  <w:t>чес-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  <w:t>кой про-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грам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  <w:t xml:space="preserve">мной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клас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сифи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кации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/п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изм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е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  <w:t>рения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32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Значения целевых показателей (индикаторов)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F68F6" w:rsidRPr="005D2B7A" w:rsidTr="001F68F6">
        <w:trPr>
          <w:jc w:val="right"/>
        </w:trPr>
        <w:tc>
          <w:tcPr>
            <w:tcW w:w="5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2023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1C28DF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C28DF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отчет</w:t>
            </w:r>
            <w:r w:rsidRPr="001C28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1C28DF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C28DF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оценка</w:t>
            </w:r>
            <w:r w:rsidRPr="001C28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1C28DF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C28DF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прогноз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1C28DF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C28DF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прогноз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1C28DF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C28DF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прогноз</w:t>
            </w:r>
            <w:r w:rsidRPr="001C28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62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 </w:t>
            </w: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доля объема тепловой энергии, расчеты за которую осуществляются с использованием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приборов учета, в общем объеме тепловой энергии, потребляемой (используемой) на территории муниципального образования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511A" w:rsidRPr="005D2B7A" w:rsidRDefault="0038511A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ресурсов, производимых на территории муниципального образования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энергетических ресурсов в организациях, финансируемых за счет средств бюджета муниципального образования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кг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у.т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./м(2)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462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социальной сфере </w:t>
            </w: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кВт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мІ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Гкал/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І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І/чел.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удельный расход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*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462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в жилищном фонде и в системах коммунальной инфраструктуры </w:t>
            </w:r>
          </w:p>
          <w:p w:rsidR="00E959D8" w:rsidRDefault="00E959D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959D8" w:rsidRDefault="00E959D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959D8" w:rsidRDefault="00E959D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959D8" w:rsidRPr="005D2B7A" w:rsidRDefault="00E959D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(3)/1 жителя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Втч/кв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площади)*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(3)/1 жителя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суммарный расход энергетических ресурсов в многоквартирных домах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удельный расход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топлива на выработку тепловой энергии на котельных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т.у.т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кВт/Гкал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потерь тепловой энергии при ее передаче в общем объеме переданной тепловой энергии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Гкал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потерь воды при ее передаче в общем объеме переданной воды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кВт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68F6" w:rsidRPr="005D2B7A" w:rsidTr="001F68F6">
        <w:trPr>
          <w:jc w:val="right"/>
        </w:trPr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нормативам)*</w:t>
            </w: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1F68F6" w:rsidRPr="005D2B7A" w:rsidRDefault="001F68F6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9B4A3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* Перечень целевых показателей регламентирован постановлением Правительства Российской Федерации от 31.12.2009г. №1225 «О требованиях к региональным и 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муниципальным программам в области энергосбережения и повышения энергетической эффективности». Значения целевых показателей будут установлены после утверждения Правительством Российской Федерации соответствующей методики расчета.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 2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 муниципальной программе 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Перечень основных мероприятий муниципальной программы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9B4A3A" w:rsidRPr="005D2B7A" w:rsidRDefault="009B4A3A" w:rsidP="005D2B7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"/>
        <w:gridCol w:w="601"/>
        <w:gridCol w:w="823"/>
        <w:gridCol w:w="2311"/>
        <w:gridCol w:w="1958"/>
        <w:gridCol w:w="1012"/>
        <w:gridCol w:w="1665"/>
        <w:gridCol w:w="1071"/>
      </w:tblGrid>
      <w:tr w:rsidR="00726DD9" w:rsidRPr="005D2B7A" w:rsidTr="001F68F6">
        <w:tc>
          <w:tcPr>
            <w:tcW w:w="9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Код аналитической программной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класс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фикации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Ответственный исполнитель, соисполнители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выпо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л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br/>
              <w:t>нения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Ожидаемый непосредственный результат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МП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Пп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ОМ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4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в натуральном выражении (Гкал, тыс.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Квт.ч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, л)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стоим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стном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выра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-</w:t>
            </w: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жении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, тыс. руб.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10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1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8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в социальной сфере»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0001 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энергетических обследований в муниципальных учреждениях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дошкольного образования и воспитания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D1084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726DD9" w:rsidRPr="005D2B7A" w:rsidTr="001F68F6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делам молодежи </w:t>
            </w:r>
          </w:p>
        </w:tc>
        <w:tc>
          <w:tcPr>
            <w:tcW w:w="4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культуре и туризму </w:t>
            </w:r>
          </w:p>
        </w:tc>
        <w:tc>
          <w:tcPr>
            <w:tcW w:w="4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физической культуре и спорту </w:t>
            </w:r>
          </w:p>
        </w:tc>
        <w:tc>
          <w:tcPr>
            <w:tcW w:w="4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6152 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4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0002 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Установка (замена)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приборов учета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дошкольного образования и воспитания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10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</w:t>
            </w:r>
            <w:r w:rsidR="0010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</w:t>
            </w:r>
            <w:r w:rsidR="0010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3 691,92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Гкал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068,30 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делам молодежи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культуре и туризму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18,29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мі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6,37 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физической культуре и спорту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0003 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Модернизация системы освещения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дошкольного образования и воспитания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Управление по культуре и туризму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D1084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145,61 тыс.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Квт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629,53 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делам молодежи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0004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Реконструкция и замена оконных и дверных блоков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дошкольного образования и воспитания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Управление по культуре и туризму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10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10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-2020 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4 782,13 Гкал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6 782,36 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делам молодежи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физической культуре и спорту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0005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Утепление и ремонт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ограждающих конструкций зданий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Управление по культуре и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туризму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10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201</w:t>
            </w:r>
            <w:r w:rsidR="0010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-2020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742,26 Гкал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935,54 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делам молодежи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физической культуре и спорту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0006 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Тепловая изоляция трубопроводов и разводящих трубопроводов системы отопления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культуре и туризму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D1084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525,89 Гкал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760,83 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делам молодежи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0007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Автоматизация потребления тепловой энергии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дошкольного образования и воспитания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Управление по культуре и туризму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D1084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23 449,89 Гкал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33 854,93 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0008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Реализация дополнительных организационных, технических и технологических  мероприятий по энергосбережению и повышению энергетической эффективности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культуре и туризму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D1084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831,68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мі</w:t>
            </w:r>
            <w:proofErr w:type="spell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2 244,46 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делам молодежи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1,21 тыс. </w:t>
            </w:r>
            <w:proofErr w:type="spell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Квт</w:t>
            </w:r>
            <w:proofErr w:type="gramStart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физической культуре и спорту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1 561,81 Гкал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1 123 л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10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2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8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жилищном фонде и в системах коммунальной инфраструктуры»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0001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магистральных тепловых сетей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D1084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потерь тепловой энергии через изоляцию на реконструируемых участках. Увеличение пропускной способности теплотрасс</w:t>
            </w:r>
          </w:p>
        </w:tc>
      </w:tr>
      <w:tr w:rsidR="00726DD9" w:rsidRPr="005D2B7A" w:rsidTr="001F68F6">
        <w:tc>
          <w:tcPr>
            <w:tcW w:w="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000</w:t>
            </w:r>
            <w:r w:rsidR="001F68F6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энергосбережению в жилых домах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1F68F6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Собственники МКД 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D10848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2019-2023</w:t>
            </w:r>
            <w:r w:rsidR="009B4A3A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B4A3A" w:rsidRPr="005D2B7A" w:rsidRDefault="009B4A3A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Экономия энергоресурсов, снижение затрат на оплату коммунальных услуг.</w:t>
            </w:r>
          </w:p>
        </w:tc>
      </w:tr>
    </w:tbl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 3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 муниципальной программе 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муниципального образования</w:t>
      </w:r>
      <w:r w:rsidR="001F68F6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="00932A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Студеновский </w:t>
      </w:r>
      <w:r w:rsidR="001F68F6"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сельсовет</w:t>
      </w:r>
    </w:p>
    <w:tbl>
      <w:tblPr>
        <w:tblW w:w="5005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6"/>
        <w:gridCol w:w="2114"/>
        <w:gridCol w:w="14"/>
        <w:gridCol w:w="475"/>
        <w:gridCol w:w="379"/>
        <w:gridCol w:w="422"/>
        <w:gridCol w:w="696"/>
        <w:gridCol w:w="566"/>
        <w:gridCol w:w="858"/>
        <w:gridCol w:w="852"/>
        <w:gridCol w:w="852"/>
        <w:gridCol w:w="710"/>
        <w:gridCol w:w="801"/>
        <w:gridCol w:w="16"/>
      </w:tblGrid>
      <w:tr w:rsidR="001F68F6" w:rsidRPr="005D2B7A" w:rsidTr="00AF1433">
        <w:trPr>
          <w:gridAfter w:val="1"/>
          <w:wAfter w:w="8" w:type="pct"/>
          <w:jc w:val="center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51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Код бюджетной классификации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F68F6" w:rsidRPr="005D2B7A" w:rsidRDefault="001F68F6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Расходы бюджета муниципального образования, тыс. рублей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ЦС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ВР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2019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2020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2021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2022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2023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CE1837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E183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Энергосбережение и повышение энергетической </w:t>
            </w:r>
            <w:r w:rsidRPr="00CE183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lastRenderedPageBreak/>
              <w:t>эффективности на 2019-2023 годы</w:t>
            </w:r>
            <w:r w:rsidRPr="00CE183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CE1837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E183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lastRenderedPageBreak/>
              <w:t>Всего</w:t>
            </w:r>
            <w:r w:rsidRPr="00CE183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социальной сфере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Всего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энергетического обследования в муниципальных учреждениях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в жилищном фонде и в системах коммунальной инфраструктуры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Всего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6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Администрация сельсовета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 4</w:t>
      </w:r>
      <w:r w:rsidRPr="005D2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 муниципальной программе </w:t>
      </w:r>
    </w:p>
    <w:p w:rsidR="009B4A3A" w:rsidRPr="005D2B7A" w:rsidRDefault="009B4A3A" w:rsidP="005D2B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A" w:rsidRPr="005D2B7A" w:rsidRDefault="009B4A3A" w:rsidP="005D2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B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500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2589"/>
        <w:gridCol w:w="922"/>
        <w:gridCol w:w="981"/>
        <w:gridCol w:w="922"/>
        <w:gridCol w:w="922"/>
        <w:gridCol w:w="922"/>
        <w:gridCol w:w="926"/>
      </w:tblGrid>
      <w:tr w:rsidR="00AF1433" w:rsidRPr="005D2B7A" w:rsidTr="00AF1433">
        <w:trPr>
          <w:jc w:val="center"/>
        </w:trPr>
        <w:tc>
          <w:tcPr>
            <w:tcW w:w="9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3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Источник финансирования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Итого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2019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2020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2021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2022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2023 год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2019-2023 годы»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Всего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CE18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 w:rsidR="00CE183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Студеновский 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сельсовет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    </w:t>
            </w: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 том числе: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субсидии из бюджета Илекского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субвенции из бюджета Оренбургской области</w:t>
            </w:r>
          </w:p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в социальной сфере»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Всего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932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 w:rsidR="00932A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Студеновский 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    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субсидии из бюджета Илекского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субвенции из бюджета Оренбургской области</w:t>
            </w:r>
          </w:p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7C744C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жилищном фонде и в системах коммунальной инфраструктуры»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Всего</w:t>
            </w: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7C744C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932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 w:rsidR="00932A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Студеновский </w:t>
            </w:r>
            <w:r w:rsidR="007C744C"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F1433" w:rsidRPr="005D2B7A" w:rsidTr="00AF1433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    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F1433" w:rsidRPr="005D2B7A" w:rsidRDefault="00AF1433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C744C" w:rsidRPr="005D2B7A" w:rsidTr="007C744C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4C" w:rsidRPr="005D2B7A" w:rsidRDefault="007C744C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C744C" w:rsidRPr="005D2B7A" w:rsidRDefault="007C744C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субсидии из бюджета Илекского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C744C" w:rsidRPr="005D2B7A" w:rsidTr="007C744C">
        <w:trPr>
          <w:jc w:val="center"/>
        </w:trPr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4C" w:rsidRPr="005D2B7A" w:rsidRDefault="007C744C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C744C" w:rsidRPr="005D2B7A" w:rsidRDefault="007C744C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5D2B7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субвенции из бюджета Оренбургской области</w:t>
            </w:r>
          </w:p>
          <w:p w:rsidR="007C744C" w:rsidRPr="005D2B7A" w:rsidRDefault="007C744C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7C744C" w:rsidRPr="005D2B7A" w:rsidRDefault="007C744C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7C744C" w:rsidRPr="005D2B7A" w:rsidRDefault="007C744C" w:rsidP="005D2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744C" w:rsidRPr="005D2B7A" w:rsidRDefault="007C744C" w:rsidP="005D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A254E" w:rsidRPr="005D2B7A" w:rsidRDefault="002A254E" w:rsidP="005D2B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54E" w:rsidRPr="005D2B7A" w:rsidSect="00726D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3A"/>
    <w:rsid w:val="000E2826"/>
    <w:rsid w:val="00105610"/>
    <w:rsid w:val="001C28DF"/>
    <w:rsid w:val="001F68F6"/>
    <w:rsid w:val="0026157B"/>
    <w:rsid w:val="00267451"/>
    <w:rsid w:val="002A254E"/>
    <w:rsid w:val="002C48EB"/>
    <w:rsid w:val="002D5ADB"/>
    <w:rsid w:val="0038511A"/>
    <w:rsid w:val="005550A8"/>
    <w:rsid w:val="005D2B7A"/>
    <w:rsid w:val="005E2D06"/>
    <w:rsid w:val="005F378F"/>
    <w:rsid w:val="00670534"/>
    <w:rsid w:val="007024D8"/>
    <w:rsid w:val="007173E5"/>
    <w:rsid w:val="00726DD9"/>
    <w:rsid w:val="00727439"/>
    <w:rsid w:val="007B7364"/>
    <w:rsid w:val="007C744C"/>
    <w:rsid w:val="00804FBC"/>
    <w:rsid w:val="00912075"/>
    <w:rsid w:val="00932A6C"/>
    <w:rsid w:val="009B4A3A"/>
    <w:rsid w:val="00AF1433"/>
    <w:rsid w:val="00B64EA5"/>
    <w:rsid w:val="00CE1837"/>
    <w:rsid w:val="00D10848"/>
    <w:rsid w:val="00E959D8"/>
    <w:rsid w:val="00F9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C"/>
  </w:style>
  <w:style w:type="paragraph" w:styleId="3">
    <w:name w:val="heading 3"/>
    <w:basedOn w:val="a"/>
    <w:link w:val="30"/>
    <w:uiPriority w:val="9"/>
    <w:qFormat/>
    <w:rsid w:val="009B4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A3A"/>
  </w:style>
  <w:style w:type="character" w:styleId="a4">
    <w:name w:val="Hyperlink"/>
    <w:basedOn w:val="a0"/>
    <w:uiPriority w:val="99"/>
    <w:semiHidden/>
    <w:unhideWhenUsed/>
    <w:rsid w:val="009B4A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4A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A3A"/>
  </w:style>
  <w:style w:type="character" w:styleId="a4">
    <w:name w:val="Hyperlink"/>
    <w:basedOn w:val="a0"/>
    <w:uiPriority w:val="99"/>
    <w:semiHidden/>
    <w:unhideWhenUsed/>
    <w:rsid w:val="009B4A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4A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.ru/lawa?d&amp;nd=960506337&amp;prevDoc=960506337&amp;mark=1SEMHRL000002F00000061AAP4VT05D4U7H1G6HFRH0UUS6R53NG2UA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h.ru/lawa?d&amp;nd=960506337&amp;prevDoc=960506337&amp;mark=1SEMHRL000002E00000061AAP4VT05D4U7H0J9FMSE39NQQDR2R5H1KT" TargetMode="External"/><Relationship Id="rId12" Type="http://schemas.openxmlformats.org/officeDocument/2006/relationships/hyperlink" Target="http://www.izh.ru/lawa?d&amp;nd=960506337&amp;prevDoc=960506337&amp;mark=1SEMHRL000002G00000061AAP4VT05D4U7H02OIEFF3CIT4UF343L6P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zh.ru/lawa?d&amp;nd=960506337&amp;prevDoc=960506337&amp;mark=1SEMHRL000002D00000061AAP4VT05D4U7H33GTHOF000000A2V78OJT" TargetMode="External"/><Relationship Id="rId11" Type="http://schemas.openxmlformats.org/officeDocument/2006/relationships/hyperlink" Target="http://www.izh.ru/lawa?d&amp;nd=960506337&amp;prevDoc=960506337&amp;mark=1SEMHRL000002F00000061AAP4VT05D4U7H1G6HFRH0UUS6R53NG2UA4" TargetMode="External"/><Relationship Id="rId5" Type="http://schemas.openxmlformats.org/officeDocument/2006/relationships/hyperlink" Target="http://www.izh.ru/lawa?d&amp;nd=960500044&amp;prevDoc=960506337&amp;mark=2ET07863DQQV800T708S737HHIJK3BE2S3O1GMUA3K3BE2S3O0OCCSS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izh.ru/lawa?d&amp;nd=960506337&amp;prevDoc=960506337&amp;mark=1SEMHRL000002D00000061AAP4VT05D4U7H33GTHOF000000A2V78OJ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h.ru/lawa?d&amp;nd=960506337&amp;prevDoc=960506337&amp;mark=1SEMHRL000002G00000061AAP4VT05D4U7H02OIEFF3CIT4UF343L6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5E39-45AF-4CF8-A580-F005364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2019-03-01T07:20:00Z</cp:lastPrinted>
  <dcterms:created xsi:type="dcterms:W3CDTF">2019-03-04T09:35:00Z</dcterms:created>
  <dcterms:modified xsi:type="dcterms:W3CDTF">2019-06-14T10:25:00Z</dcterms:modified>
</cp:coreProperties>
</file>